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0B9" w:rsidRDefault="00D740B9" w:rsidP="00D740B9">
      <w:pPr>
        <w:pStyle w:val="10"/>
        <w:keepNext/>
        <w:keepLines/>
        <w:shd w:val="clear" w:color="auto" w:fill="auto"/>
        <w:spacing w:before="0" w:line="322" w:lineRule="exact"/>
        <w:ind w:firstLine="0"/>
      </w:pPr>
      <w:r>
        <w:t>Информация</w:t>
      </w:r>
      <w:r w:rsidR="000A7CEB">
        <w:t xml:space="preserve"> Контрольно-счетной палаты </w:t>
      </w:r>
    </w:p>
    <w:p w:rsidR="00CF20AC" w:rsidRDefault="000A7CEB" w:rsidP="00D740B9">
      <w:pPr>
        <w:pStyle w:val="10"/>
        <w:keepNext/>
        <w:keepLines/>
        <w:shd w:val="clear" w:color="auto" w:fill="auto"/>
        <w:spacing w:before="0" w:line="322" w:lineRule="exact"/>
        <w:ind w:firstLine="0"/>
      </w:pPr>
      <w:r>
        <w:t>Талдомского городского округа</w:t>
      </w:r>
    </w:p>
    <w:p w:rsidR="00CF20AC" w:rsidRPr="00D740B9" w:rsidRDefault="00993AA7">
      <w:pPr>
        <w:pStyle w:val="20"/>
        <w:keepNext/>
        <w:keepLines/>
        <w:shd w:val="clear" w:color="auto" w:fill="auto"/>
        <w:spacing w:after="305"/>
        <w:rPr>
          <w:sz w:val="32"/>
          <w:szCs w:val="32"/>
        </w:rPr>
      </w:pPr>
      <w:bookmarkStart w:id="0" w:name="bookmark3"/>
      <w:r w:rsidRPr="00D740B9">
        <w:rPr>
          <w:sz w:val="32"/>
          <w:szCs w:val="32"/>
        </w:rPr>
        <w:t>о результата</w:t>
      </w:r>
      <w:r w:rsidR="007735EB">
        <w:rPr>
          <w:sz w:val="32"/>
          <w:szCs w:val="32"/>
        </w:rPr>
        <w:t>х</w:t>
      </w:r>
      <w:r w:rsidRPr="00D740B9">
        <w:rPr>
          <w:sz w:val="32"/>
          <w:szCs w:val="32"/>
        </w:rPr>
        <w:t xml:space="preserve"> </w:t>
      </w:r>
      <w:r w:rsidR="00D740B9" w:rsidRPr="00D740B9">
        <w:rPr>
          <w:sz w:val="32"/>
          <w:szCs w:val="32"/>
        </w:rPr>
        <w:t xml:space="preserve">проведенного экспертно-аналитического мероприятия «Мониторинг </w:t>
      </w:r>
      <w:r w:rsidRPr="00D740B9">
        <w:rPr>
          <w:sz w:val="32"/>
          <w:szCs w:val="32"/>
        </w:rPr>
        <w:t>исполнения бюджета</w:t>
      </w:r>
      <w:r w:rsidR="00D740B9">
        <w:rPr>
          <w:sz w:val="32"/>
          <w:szCs w:val="32"/>
        </w:rPr>
        <w:t xml:space="preserve"> </w:t>
      </w:r>
      <w:r w:rsidRPr="00D740B9">
        <w:rPr>
          <w:sz w:val="32"/>
          <w:szCs w:val="32"/>
        </w:rPr>
        <w:t>Талдомского городского округа</w:t>
      </w:r>
      <w:r w:rsidRPr="00D740B9">
        <w:rPr>
          <w:sz w:val="32"/>
          <w:szCs w:val="32"/>
        </w:rPr>
        <w:br/>
        <w:t xml:space="preserve">Московской области за </w:t>
      </w:r>
      <w:r w:rsidR="00C73C6B">
        <w:rPr>
          <w:sz w:val="32"/>
          <w:szCs w:val="32"/>
        </w:rPr>
        <w:t>девять месяцев</w:t>
      </w:r>
      <w:r w:rsidRPr="00D740B9">
        <w:rPr>
          <w:sz w:val="32"/>
          <w:szCs w:val="32"/>
        </w:rPr>
        <w:t xml:space="preserve"> 2019 года</w:t>
      </w:r>
      <w:bookmarkEnd w:id="0"/>
      <w:r w:rsidR="00D740B9">
        <w:rPr>
          <w:sz w:val="32"/>
          <w:szCs w:val="32"/>
        </w:rPr>
        <w:t>»</w:t>
      </w:r>
    </w:p>
    <w:p w:rsidR="00CF20AC" w:rsidRPr="002B0DF3" w:rsidRDefault="00D740B9">
      <w:pPr>
        <w:pStyle w:val="22"/>
        <w:shd w:val="clear" w:color="auto" w:fill="auto"/>
        <w:spacing w:before="0" w:after="426"/>
        <w:ind w:firstLine="900"/>
      </w:pPr>
      <w:r w:rsidRPr="002B0DF3">
        <w:t>Мониторинг</w:t>
      </w:r>
      <w:r w:rsidR="00993AA7" w:rsidRPr="002B0DF3">
        <w:t xml:space="preserve"> исполнении бюджета Талдомского городского округа за </w:t>
      </w:r>
      <w:r w:rsidR="002B0DF3" w:rsidRPr="002B0DF3">
        <w:t>девять месяцев</w:t>
      </w:r>
      <w:r w:rsidR="00993AA7" w:rsidRPr="002B0DF3">
        <w:t xml:space="preserve"> 2019 года п</w:t>
      </w:r>
      <w:r w:rsidRPr="002B0DF3">
        <w:t>роведен</w:t>
      </w:r>
      <w:r w:rsidR="00993AA7" w:rsidRPr="002B0DF3">
        <w:t xml:space="preserve"> Контрольно-счетной палатой Талдомского городского окр</w:t>
      </w:r>
      <w:r w:rsidRPr="002B0DF3">
        <w:t>у</w:t>
      </w:r>
      <w:r w:rsidR="00993AA7" w:rsidRPr="002B0DF3">
        <w:t>га Московской области в соответствии с требованиями п.2 ст. 157, 264.2 Бюджетного кодекса Российской Федерации (далее: БК РФ), Положением о Контрольно-счетной палате Талдомского городского округа, утвержденным Решением Совета депутатов Талдомского городского округа Московской области от 31.01.2019 №138, п.1.</w:t>
      </w:r>
      <w:r w:rsidR="002B0DF3" w:rsidRPr="002B0DF3">
        <w:t>3</w:t>
      </w:r>
      <w:r w:rsidR="00993AA7" w:rsidRPr="002B0DF3">
        <w:t xml:space="preserve"> Плана работы Контрольно-счетной палаты Талдомского городского округа на 2019 год.</w:t>
      </w:r>
    </w:p>
    <w:p w:rsidR="00D740B9" w:rsidRPr="002B0DF3" w:rsidRDefault="00D740B9" w:rsidP="00D740B9">
      <w:pPr>
        <w:pStyle w:val="22"/>
        <w:spacing w:after="426"/>
        <w:ind w:firstLine="900"/>
      </w:pPr>
      <w:r w:rsidRPr="002B0DF3">
        <w:t>Согласно требованиям п. 5 ст. 264.2 БК РФ отчет об исполнении местного бюджета за 1 квартал, полугодие и 9 месяцев текущего финансового года утверждается местной администрацией и направляется в соответствующий законодательный (представительный) орган и созданный им орган государственного (муниципального) финансового контроля.</w:t>
      </w:r>
    </w:p>
    <w:p w:rsidR="002B0DF3" w:rsidRPr="002B0DF3" w:rsidRDefault="002B0DF3" w:rsidP="00D740B9">
      <w:pPr>
        <w:pStyle w:val="22"/>
        <w:spacing w:after="426"/>
        <w:ind w:firstLine="900"/>
      </w:pPr>
      <w:r w:rsidRPr="002B0DF3">
        <w:t>Отчет об исполнении бюджета Талдомского городского округа за 9 месяцев 2019 года утвержден постановлением главы Талдомского городского округа от 08.11.2019 №2323 и направлен в Совет депутатов Талдомского городского округа 13.11.2019 г.</w:t>
      </w:r>
    </w:p>
    <w:p w:rsidR="00D740B9" w:rsidRPr="002B0DF3" w:rsidRDefault="00D740B9" w:rsidP="00D740B9">
      <w:pPr>
        <w:pStyle w:val="22"/>
        <w:spacing w:after="426"/>
        <w:ind w:firstLine="900"/>
      </w:pPr>
      <w:r w:rsidRPr="002B0DF3">
        <w:t xml:space="preserve">В течение </w:t>
      </w:r>
      <w:r w:rsidR="002B0DF3" w:rsidRPr="002B0DF3">
        <w:t xml:space="preserve">девяти месяцев </w:t>
      </w:r>
      <w:r w:rsidRPr="002B0DF3">
        <w:t>2019 года в Талдомском городском округе бюджетный процесс основывался на положениях БК РФ. Положение о бюджетном процессе в Талдомском городском округе отсутствует.</w:t>
      </w:r>
    </w:p>
    <w:p w:rsidR="00D740B9" w:rsidRPr="002B0DF3" w:rsidRDefault="00D740B9" w:rsidP="00D740B9">
      <w:pPr>
        <w:pStyle w:val="22"/>
        <w:spacing w:after="426"/>
        <w:ind w:firstLine="900"/>
      </w:pPr>
      <w:r w:rsidRPr="002B0DF3">
        <w:t>Решением Совета депутатов Талдомского городского округа Московской области от 27.12.2018 №126 «О бюджете Талдомского городского округа на 2019 год и плановый период 2020 и 2021 годов» утвержден бюджет Талдомского городского округа на 2019 год и плановый период 2020 и 2021 годов.</w:t>
      </w:r>
    </w:p>
    <w:p w:rsidR="00D740B9" w:rsidRDefault="00D740B9" w:rsidP="00D740B9">
      <w:pPr>
        <w:pStyle w:val="22"/>
        <w:shd w:val="clear" w:color="auto" w:fill="auto"/>
        <w:spacing w:before="0" w:after="426"/>
        <w:ind w:firstLine="900"/>
      </w:pPr>
      <w:r w:rsidRPr="002B0DF3">
        <w:t>Бюджет утвержден до начала очередного</w:t>
      </w:r>
      <w:r>
        <w:t xml:space="preserve"> финансового года, т.е. в соответствии с требованиями бюджетного законодательства. Основные характеристики утвержденного бюджета соответствуют требованиям ст. 184-1 БК РФ.</w:t>
      </w:r>
    </w:p>
    <w:p w:rsidR="00CF20AC" w:rsidRDefault="00CF20AC">
      <w:pPr>
        <w:rPr>
          <w:sz w:val="2"/>
          <w:szCs w:val="2"/>
        </w:rPr>
      </w:pPr>
    </w:p>
    <w:p w:rsidR="00CF20AC" w:rsidRDefault="00D740B9" w:rsidP="00D740B9">
      <w:pPr>
        <w:pStyle w:val="22"/>
        <w:shd w:val="clear" w:color="auto" w:fill="auto"/>
        <w:tabs>
          <w:tab w:val="left" w:pos="4929"/>
        </w:tabs>
        <w:spacing w:before="0" w:after="266" w:line="266" w:lineRule="exact"/>
        <w:ind w:firstLine="0"/>
        <w:jc w:val="left"/>
        <w:rPr>
          <w:b/>
          <w:bCs/>
        </w:rPr>
      </w:pPr>
      <w:r w:rsidRPr="00D740B9">
        <w:rPr>
          <w:b/>
          <w:bCs/>
        </w:rPr>
        <w:t>В</w:t>
      </w:r>
      <w:r w:rsidR="00993AA7" w:rsidRPr="00D740B9">
        <w:rPr>
          <w:b/>
          <w:bCs/>
        </w:rPr>
        <w:t>ыводы</w:t>
      </w:r>
      <w:r w:rsidRPr="00D740B9">
        <w:rPr>
          <w:b/>
          <w:bCs/>
        </w:rPr>
        <w:t>:</w:t>
      </w:r>
    </w:p>
    <w:p w:rsidR="002B0DF3" w:rsidRPr="002B0DF3" w:rsidRDefault="002B0DF3" w:rsidP="002B0DF3">
      <w:pPr>
        <w:numPr>
          <w:ilvl w:val="0"/>
          <w:numId w:val="6"/>
        </w:numPr>
        <w:tabs>
          <w:tab w:val="left" w:pos="1170"/>
        </w:tabs>
        <w:spacing w:line="283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2B0DF3">
        <w:rPr>
          <w:rFonts w:ascii="Times New Roman" w:eastAsia="Times New Roman" w:hAnsi="Times New Roman" w:cs="Times New Roman"/>
          <w:color w:val="auto"/>
        </w:rPr>
        <w:t>Бюджет Талдомского городского округа за 9 месяцев 2019 года исполнен:</w:t>
      </w:r>
    </w:p>
    <w:p w:rsidR="002B0DF3" w:rsidRPr="002B0DF3" w:rsidRDefault="002B0DF3" w:rsidP="002B0DF3">
      <w:pPr>
        <w:numPr>
          <w:ilvl w:val="0"/>
          <w:numId w:val="7"/>
        </w:numPr>
        <w:tabs>
          <w:tab w:val="left" w:pos="1431"/>
        </w:tabs>
        <w:spacing w:line="283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2B0DF3">
        <w:rPr>
          <w:rFonts w:ascii="Times New Roman" w:eastAsia="Times New Roman" w:hAnsi="Times New Roman" w:cs="Times New Roman"/>
          <w:color w:val="auto"/>
        </w:rPr>
        <w:t>по доходам в сумме 1 657 095,31 тыс. рублей или на 60,8% к утвержденным годовым назначениям;</w:t>
      </w:r>
    </w:p>
    <w:p w:rsidR="002B0DF3" w:rsidRPr="002B0DF3" w:rsidRDefault="002B0DF3" w:rsidP="002B0DF3">
      <w:pPr>
        <w:numPr>
          <w:ilvl w:val="0"/>
          <w:numId w:val="7"/>
        </w:numPr>
        <w:tabs>
          <w:tab w:val="left" w:pos="1431"/>
        </w:tabs>
        <w:spacing w:line="283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2B0DF3">
        <w:rPr>
          <w:rFonts w:ascii="Times New Roman" w:eastAsia="Times New Roman" w:hAnsi="Times New Roman" w:cs="Times New Roman"/>
          <w:color w:val="auto"/>
        </w:rPr>
        <w:t>по расходам – 1 758 438,84 тыс. рублей или 62,3% к утвержденным годовым назначениям;</w:t>
      </w:r>
    </w:p>
    <w:p w:rsidR="002B0DF3" w:rsidRPr="002B0DF3" w:rsidRDefault="002B0DF3" w:rsidP="002B0DF3">
      <w:pPr>
        <w:numPr>
          <w:ilvl w:val="0"/>
          <w:numId w:val="7"/>
        </w:numPr>
        <w:tabs>
          <w:tab w:val="left" w:pos="1431"/>
        </w:tabs>
        <w:spacing w:after="288" w:line="283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2B0DF3">
        <w:rPr>
          <w:rFonts w:ascii="Times New Roman" w:eastAsia="Times New Roman" w:hAnsi="Times New Roman" w:cs="Times New Roman"/>
          <w:color w:val="auto"/>
        </w:rPr>
        <w:t>с дефицитом – 101 343,53 тыс. рублей.</w:t>
      </w:r>
    </w:p>
    <w:p w:rsidR="002B0DF3" w:rsidRPr="002B0DF3" w:rsidRDefault="002B0DF3" w:rsidP="002B0DF3">
      <w:pPr>
        <w:numPr>
          <w:ilvl w:val="0"/>
          <w:numId w:val="6"/>
        </w:numPr>
        <w:tabs>
          <w:tab w:val="left" w:pos="1143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2B0DF3">
        <w:rPr>
          <w:rFonts w:ascii="Times New Roman" w:eastAsia="Times New Roman" w:hAnsi="Times New Roman" w:cs="Times New Roman"/>
          <w:color w:val="auto"/>
        </w:rPr>
        <w:t>Поступления налоговых доходов в бюджет Талдомского городского округа за 9 месяцев 2019 года составили 659 880,54 тыс. рублей или 68,9% к утвержденным годовым назначениям.</w:t>
      </w:r>
    </w:p>
    <w:p w:rsidR="002B0DF3" w:rsidRPr="002B0DF3" w:rsidRDefault="002B0DF3" w:rsidP="002B0DF3">
      <w:pPr>
        <w:numPr>
          <w:ilvl w:val="0"/>
          <w:numId w:val="6"/>
        </w:numPr>
        <w:tabs>
          <w:tab w:val="left" w:pos="1148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2B0DF3">
        <w:rPr>
          <w:rFonts w:ascii="Times New Roman" w:eastAsia="Times New Roman" w:hAnsi="Times New Roman" w:cs="Times New Roman"/>
          <w:color w:val="auto"/>
        </w:rPr>
        <w:t>Поступления неналоговых доходов в бюджет Талдомского городского округа за 9 месяцев 2019 года составили 52 420,33 тыс. рублей или 72,2% к утвержденным годовым назначениям.</w:t>
      </w:r>
    </w:p>
    <w:p w:rsidR="002B0DF3" w:rsidRPr="002B0DF3" w:rsidRDefault="002B0DF3" w:rsidP="002B0DF3">
      <w:pPr>
        <w:numPr>
          <w:ilvl w:val="0"/>
          <w:numId w:val="6"/>
        </w:numPr>
        <w:tabs>
          <w:tab w:val="left" w:pos="1124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2B0DF3">
        <w:rPr>
          <w:rFonts w:ascii="Times New Roman" w:eastAsia="Times New Roman" w:hAnsi="Times New Roman" w:cs="Times New Roman"/>
          <w:color w:val="auto"/>
        </w:rPr>
        <w:t>Безвозмездные поступления за 9 месяцев 2019 года составили 944 794,44 тыс. рублей или 55,7% к утвержденным годовым назначениям.</w:t>
      </w:r>
    </w:p>
    <w:p w:rsidR="002B0DF3" w:rsidRPr="002B0DF3" w:rsidRDefault="002B0DF3" w:rsidP="002B0DF3">
      <w:pPr>
        <w:numPr>
          <w:ilvl w:val="0"/>
          <w:numId w:val="6"/>
        </w:numPr>
        <w:tabs>
          <w:tab w:val="left" w:pos="1124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2B0DF3">
        <w:rPr>
          <w:rFonts w:ascii="Times New Roman" w:eastAsia="Times New Roman" w:hAnsi="Times New Roman" w:cs="Times New Roman"/>
          <w:color w:val="auto"/>
        </w:rPr>
        <w:t xml:space="preserve">Отмечается очень низкое выполнение по расходам по разделам «Охрана окружающей </w:t>
      </w:r>
      <w:r w:rsidRPr="002B0DF3">
        <w:rPr>
          <w:rFonts w:ascii="Times New Roman" w:eastAsia="Times New Roman" w:hAnsi="Times New Roman" w:cs="Times New Roman"/>
          <w:color w:val="auto"/>
        </w:rPr>
        <w:lastRenderedPageBreak/>
        <w:t>среды» – 5,1%. Также низкое выполнение по разделам «Национальная безопасность и правоохранительная деятельность – 31,6%, «Национальная экономика» – 37,4%.</w:t>
      </w:r>
    </w:p>
    <w:p w:rsidR="002B0DF3" w:rsidRDefault="002B0DF3" w:rsidP="002B0DF3">
      <w:pPr>
        <w:keepNext/>
        <w:keepLines/>
        <w:tabs>
          <w:tab w:val="left" w:pos="5069"/>
        </w:tabs>
        <w:spacing w:line="274" w:lineRule="exact"/>
        <w:outlineLvl w:val="2"/>
        <w:rPr>
          <w:rFonts w:ascii="Times New Roman" w:eastAsia="Times New Roman" w:hAnsi="Times New Roman" w:cs="Times New Roman"/>
          <w:color w:val="auto"/>
        </w:rPr>
      </w:pPr>
      <w:bookmarkStart w:id="1" w:name="bookmark19"/>
    </w:p>
    <w:p w:rsidR="002B0DF3" w:rsidRDefault="002B0DF3" w:rsidP="002B0DF3">
      <w:pPr>
        <w:keepNext/>
        <w:keepLines/>
        <w:tabs>
          <w:tab w:val="left" w:pos="5069"/>
        </w:tabs>
        <w:spacing w:line="274" w:lineRule="exact"/>
        <w:outlineLvl w:val="2"/>
        <w:rPr>
          <w:rFonts w:ascii="Times New Roman" w:eastAsia="Times New Roman" w:hAnsi="Times New Roman" w:cs="Times New Roman"/>
          <w:b/>
          <w:bCs/>
          <w:color w:val="auto"/>
        </w:rPr>
      </w:pPr>
      <w:r w:rsidRPr="002B0DF3">
        <w:rPr>
          <w:rFonts w:ascii="Times New Roman" w:eastAsia="Times New Roman" w:hAnsi="Times New Roman" w:cs="Times New Roman"/>
          <w:b/>
          <w:bCs/>
          <w:color w:val="auto"/>
        </w:rPr>
        <w:t>Предложения</w:t>
      </w:r>
      <w:bookmarkEnd w:id="1"/>
      <w:r>
        <w:rPr>
          <w:rFonts w:ascii="Times New Roman" w:eastAsia="Times New Roman" w:hAnsi="Times New Roman" w:cs="Times New Roman"/>
          <w:b/>
          <w:bCs/>
          <w:color w:val="auto"/>
        </w:rPr>
        <w:t>:</w:t>
      </w:r>
    </w:p>
    <w:p w:rsidR="002B0DF3" w:rsidRPr="002B0DF3" w:rsidRDefault="002B0DF3" w:rsidP="002B0DF3">
      <w:pPr>
        <w:keepNext/>
        <w:keepLines/>
        <w:tabs>
          <w:tab w:val="left" w:pos="5069"/>
        </w:tabs>
        <w:spacing w:line="274" w:lineRule="exact"/>
        <w:outlineLvl w:val="2"/>
        <w:rPr>
          <w:rFonts w:ascii="Times New Roman" w:eastAsia="Times New Roman" w:hAnsi="Times New Roman" w:cs="Times New Roman"/>
          <w:b/>
          <w:bCs/>
          <w:color w:val="auto"/>
        </w:rPr>
      </w:pPr>
      <w:bookmarkStart w:id="2" w:name="_GoBack"/>
      <w:bookmarkEnd w:id="2"/>
    </w:p>
    <w:p w:rsidR="002B0DF3" w:rsidRPr="002B0DF3" w:rsidRDefault="002B0DF3" w:rsidP="002B0DF3">
      <w:pPr>
        <w:spacing w:line="274" w:lineRule="exact"/>
        <w:ind w:firstLine="900"/>
        <w:jc w:val="both"/>
        <w:rPr>
          <w:rFonts w:ascii="Times New Roman" w:eastAsia="Times New Roman" w:hAnsi="Times New Roman" w:cs="Times New Roman"/>
          <w:color w:val="auto"/>
        </w:rPr>
      </w:pPr>
      <w:r w:rsidRPr="002B0DF3">
        <w:rPr>
          <w:rFonts w:ascii="Times New Roman" w:eastAsia="Times New Roman" w:hAnsi="Times New Roman" w:cs="Times New Roman"/>
          <w:color w:val="auto"/>
        </w:rPr>
        <w:t>По результатам проведенного анализа текущего исполнения бюджета Талдомского городского округа по итогам 9-ти месяцев 2019 года Контрольно-счетная палата Талдомского городского округа рекомендует:</w:t>
      </w:r>
    </w:p>
    <w:p w:rsidR="002B0DF3" w:rsidRPr="002B0DF3" w:rsidRDefault="002B0DF3" w:rsidP="002B0DF3">
      <w:pPr>
        <w:numPr>
          <w:ilvl w:val="0"/>
          <w:numId w:val="9"/>
        </w:numPr>
        <w:tabs>
          <w:tab w:val="left" w:pos="1143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2B0DF3">
        <w:rPr>
          <w:rFonts w:ascii="Times New Roman" w:eastAsia="Times New Roman" w:hAnsi="Times New Roman" w:cs="Times New Roman"/>
          <w:color w:val="auto"/>
        </w:rPr>
        <w:t>Разработать и утвердить Положение о бюджетном процессе в Талдомском городском округе.</w:t>
      </w:r>
    </w:p>
    <w:p w:rsidR="002B0DF3" w:rsidRPr="002B0DF3" w:rsidRDefault="002B0DF3" w:rsidP="002B0DF3">
      <w:pPr>
        <w:numPr>
          <w:ilvl w:val="0"/>
          <w:numId w:val="9"/>
        </w:numPr>
        <w:tabs>
          <w:tab w:val="left" w:pos="1143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2B0DF3">
        <w:rPr>
          <w:rFonts w:ascii="Times New Roman" w:eastAsia="Times New Roman" w:hAnsi="Times New Roman" w:cs="Times New Roman"/>
          <w:color w:val="auto"/>
        </w:rPr>
        <w:t>Усилить работу по обеспечению исполнения расходных обязательств, принять меры к повышению уровня исполнения программных расходов.</w:t>
      </w:r>
    </w:p>
    <w:p w:rsidR="002B0DF3" w:rsidRPr="00D740B9" w:rsidRDefault="002B0DF3" w:rsidP="00D740B9">
      <w:pPr>
        <w:pStyle w:val="22"/>
        <w:shd w:val="clear" w:color="auto" w:fill="auto"/>
        <w:tabs>
          <w:tab w:val="left" w:pos="4929"/>
        </w:tabs>
        <w:spacing w:before="0" w:after="266" w:line="266" w:lineRule="exact"/>
        <w:ind w:firstLine="0"/>
        <w:jc w:val="left"/>
        <w:rPr>
          <w:b/>
          <w:bCs/>
        </w:rPr>
      </w:pPr>
    </w:p>
    <w:sectPr w:rsidR="002B0DF3" w:rsidRPr="00D740B9">
      <w:footerReference w:type="default" r:id="rId8"/>
      <w:footerReference w:type="first" r:id="rId9"/>
      <w:pgSz w:w="11900" w:h="16840"/>
      <w:pgMar w:top="485" w:right="450" w:bottom="1011" w:left="10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920" w:rsidRDefault="00100920">
      <w:r>
        <w:separator/>
      </w:r>
    </w:p>
  </w:endnote>
  <w:endnote w:type="continuationSeparator" w:id="0">
    <w:p w:rsidR="00100920" w:rsidRDefault="0010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DE1" w:rsidRDefault="00FD2DE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7058660</wp:posOffset>
              </wp:positionH>
              <wp:positionV relativeFrom="page">
                <wp:posOffset>10123170</wp:posOffset>
              </wp:positionV>
              <wp:extent cx="128270" cy="100330"/>
              <wp:effectExtent l="635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DE1" w:rsidRDefault="00FD2DE1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#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5.8pt;margin-top:797.1pt;width:10.1pt;height:7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" filled="f" stroked="f">
              <v:textbox style="mso-fit-shape-to-text:t" inset="0,0,0,0">
                <w:txbxContent>
                  <w:p w:rsidR="00FD2DE1" w:rsidRDefault="00FD2DE1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5"/>
                      </w:rPr>
                      <w:t>#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DE1" w:rsidRDefault="00FD2DE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7128510</wp:posOffset>
              </wp:positionH>
              <wp:positionV relativeFrom="page">
                <wp:posOffset>10104755</wp:posOffset>
              </wp:positionV>
              <wp:extent cx="57785" cy="100330"/>
              <wp:effectExtent l="381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2DE1" w:rsidRDefault="00FD2DE1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#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61.3pt;margin-top:795.65pt;width:4.55pt;height:7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" filled="f" stroked="f">
              <v:textbox style="mso-fit-shape-to-text:t" inset="0,0,0,0">
                <w:txbxContent>
                  <w:p w:rsidR="00FD2DE1" w:rsidRDefault="00FD2DE1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a5"/>
                      </w:rPr>
                      <w:t>#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920" w:rsidRDefault="00100920"/>
  </w:footnote>
  <w:footnote w:type="continuationSeparator" w:id="0">
    <w:p w:rsidR="00100920" w:rsidRDefault="0010092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66E5"/>
    <w:multiLevelType w:val="multilevel"/>
    <w:tmpl w:val="35B6EF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B57E57"/>
    <w:multiLevelType w:val="multilevel"/>
    <w:tmpl w:val="5AA87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745E8"/>
    <w:multiLevelType w:val="multilevel"/>
    <w:tmpl w:val="0A9420A6"/>
    <w:lvl w:ilvl="0">
      <w:start w:val="1"/>
      <w:numFmt w:val="decimal"/>
      <w:lvlText w:val="44,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9A0FCB"/>
    <w:multiLevelType w:val="multilevel"/>
    <w:tmpl w:val="3E247A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DE1E98"/>
    <w:multiLevelType w:val="multilevel"/>
    <w:tmpl w:val="B8644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E1FCC"/>
    <w:multiLevelType w:val="multilevel"/>
    <w:tmpl w:val="1018D6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AA97863"/>
    <w:multiLevelType w:val="multilevel"/>
    <w:tmpl w:val="7D98BDD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166872"/>
    <w:multiLevelType w:val="multilevel"/>
    <w:tmpl w:val="5BDEE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4EB2FB9"/>
    <w:multiLevelType w:val="multilevel"/>
    <w:tmpl w:val="293E87E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AC"/>
    <w:rsid w:val="00045CD7"/>
    <w:rsid w:val="000A7CEB"/>
    <w:rsid w:val="00100920"/>
    <w:rsid w:val="00102BEF"/>
    <w:rsid w:val="001433E0"/>
    <w:rsid w:val="0017140F"/>
    <w:rsid w:val="001B47D2"/>
    <w:rsid w:val="001C6FFB"/>
    <w:rsid w:val="00216DC7"/>
    <w:rsid w:val="002719A6"/>
    <w:rsid w:val="002852EE"/>
    <w:rsid w:val="002B0DF3"/>
    <w:rsid w:val="002B5937"/>
    <w:rsid w:val="002C5B0C"/>
    <w:rsid w:val="002C7338"/>
    <w:rsid w:val="00313A63"/>
    <w:rsid w:val="00364AB6"/>
    <w:rsid w:val="003A57C5"/>
    <w:rsid w:val="003B764A"/>
    <w:rsid w:val="003C566C"/>
    <w:rsid w:val="003D570D"/>
    <w:rsid w:val="00470CBF"/>
    <w:rsid w:val="00494658"/>
    <w:rsid w:val="004C0C70"/>
    <w:rsid w:val="00511B3D"/>
    <w:rsid w:val="005D5156"/>
    <w:rsid w:val="005E4BEB"/>
    <w:rsid w:val="005F3A64"/>
    <w:rsid w:val="005F4041"/>
    <w:rsid w:val="006233E1"/>
    <w:rsid w:val="00636F89"/>
    <w:rsid w:val="006A4C5C"/>
    <w:rsid w:val="007369F8"/>
    <w:rsid w:val="007735EB"/>
    <w:rsid w:val="007A404C"/>
    <w:rsid w:val="007C2F40"/>
    <w:rsid w:val="007D0BC8"/>
    <w:rsid w:val="007F364C"/>
    <w:rsid w:val="0080663B"/>
    <w:rsid w:val="0085139D"/>
    <w:rsid w:val="008603C5"/>
    <w:rsid w:val="008632E4"/>
    <w:rsid w:val="008745D8"/>
    <w:rsid w:val="008E2853"/>
    <w:rsid w:val="009555E8"/>
    <w:rsid w:val="009614F8"/>
    <w:rsid w:val="00993AA7"/>
    <w:rsid w:val="00A1187A"/>
    <w:rsid w:val="00B0042E"/>
    <w:rsid w:val="00B37FFA"/>
    <w:rsid w:val="00B62AD1"/>
    <w:rsid w:val="00B77ADA"/>
    <w:rsid w:val="00BA49C9"/>
    <w:rsid w:val="00BD698D"/>
    <w:rsid w:val="00BD725C"/>
    <w:rsid w:val="00C021B9"/>
    <w:rsid w:val="00C2048D"/>
    <w:rsid w:val="00C32DDD"/>
    <w:rsid w:val="00C6036F"/>
    <w:rsid w:val="00C73C6B"/>
    <w:rsid w:val="00CA3405"/>
    <w:rsid w:val="00CD56A7"/>
    <w:rsid w:val="00CE7582"/>
    <w:rsid w:val="00CF20AC"/>
    <w:rsid w:val="00CF2F41"/>
    <w:rsid w:val="00D45539"/>
    <w:rsid w:val="00D62DBA"/>
    <w:rsid w:val="00D64705"/>
    <w:rsid w:val="00D740B9"/>
    <w:rsid w:val="00DA3806"/>
    <w:rsid w:val="00E053D4"/>
    <w:rsid w:val="00E83858"/>
    <w:rsid w:val="00EA3AAC"/>
    <w:rsid w:val="00EB535F"/>
    <w:rsid w:val="00F03B3E"/>
    <w:rsid w:val="00FA0B2E"/>
    <w:rsid w:val="00FA7F5C"/>
    <w:rsid w:val="00FB4297"/>
    <w:rsid w:val="00FD2DE1"/>
    <w:rsid w:val="00FD4680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C321E"/>
  <w15:docId w15:val="{BA2DF414-0F89-43E0-937C-1B22F427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05pt">
    <w:name w:val="Основной текст (2) + 10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pt">
    <w:name w:val="Основной текст (2) + 7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Calibri75pt">
    <w:name w:val="Основной текст (2) + Calibri;7;5 pt;Полужирный"/>
    <w:basedOn w:val="2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95pt">
    <w:name w:val="Основной текст (2) + 9;5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9">
    <w:name w:val="Подпись к картинк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b">
    <w:name w:val="Подпись к картинке"/>
    <w:basedOn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85pt">
    <w:name w:val="Колонтитул + 8;5 pt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4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Exact0">
    <w:name w:val="Подпись к таблице (2) Exact"/>
    <w:basedOn w:val="a0"/>
    <w:link w:val="25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Calibri10pt">
    <w:name w:val="Основной текст (2) + Calibri;10 pt;Курсив"/>
    <w:basedOn w:val="21"/>
    <w:rPr>
      <w:rFonts w:ascii="Calibri" w:eastAsia="Calibri" w:hAnsi="Calibri" w:cs="Calibri"/>
      <w:b w:val="0"/>
      <w:bCs w:val="0"/>
      <w:i/>
      <w:iCs/>
      <w:smallCaps w:val="0"/>
      <w:strike w:val="0"/>
      <w:color w:val="6C6C6C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9pt">
    <w:name w:val="Основной текст (2) + Arial;9 pt;Курсив"/>
    <w:basedOn w:val="21"/>
    <w:rPr>
      <w:rFonts w:ascii="Arial" w:eastAsia="Arial" w:hAnsi="Arial" w:cs="Arial"/>
      <w:b w:val="0"/>
      <w:bCs w:val="0"/>
      <w:i/>
      <w:iCs/>
      <w:smallCaps w:val="0"/>
      <w:strike w:val="0"/>
      <w:color w:val="6C6C6C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2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2Exact1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2">
    <w:name w:val="Основной текст (2) Exac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5pt0">
    <w:name w:val="Основной текст (2) + 9;5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5pt0pt">
    <w:name w:val="Основной текст (2) + 10;5 pt;Курсив;Интервал 0 pt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6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20" w:line="354" w:lineRule="exact"/>
      <w:ind w:hanging="46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820" w:line="266" w:lineRule="exact"/>
      <w:jc w:val="center"/>
      <w:outlineLvl w:val="2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6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260" w:after="420" w:line="274" w:lineRule="exact"/>
      <w:ind w:hanging="460"/>
      <w:jc w:val="both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aa">
    <w:name w:val="Подпись к картинке"/>
    <w:basedOn w:val="a"/>
    <w:link w:val="a9"/>
    <w:pPr>
      <w:shd w:val="clear" w:color="auto" w:fill="FFFFFF"/>
      <w:spacing w:line="23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4">
    <w:name w:val="Подпись к картинке (2)"/>
    <w:basedOn w:val="a"/>
    <w:link w:val="2Exact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25">
    <w:name w:val="Подпись к таблице (2)"/>
    <w:basedOn w:val="a"/>
    <w:link w:val="2Exact0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32">
    <w:name w:val="Основной текст (3)"/>
    <w:basedOn w:val="a"/>
    <w:link w:val="3Exact"/>
    <w:pPr>
      <w:shd w:val="clear" w:color="auto" w:fill="FFFFFF"/>
      <w:spacing w:line="197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80" w:after="280" w:line="274" w:lineRule="exact"/>
      <w:ind w:firstLine="900"/>
      <w:jc w:val="both"/>
    </w:pPr>
    <w:rPr>
      <w:rFonts w:ascii="Times New Roman" w:eastAsia="Times New Roman" w:hAnsi="Times New Roman" w:cs="Times New Roman"/>
      <w:i/>
      <w:iCs/>
    </w:rPr>
  </w:style>
  <w:style w:type="paragraph" w:styleId="ac">
    <w:name w:val="header"/>
    <w:basedOn w:val="a"/>
    <w:link w:val="ad"/>
    <w:uiPriority w:val="99"/>
    <w:unhideWhenUsed/>
    <w:rsid w:val="00DA38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A3806"/>
    <w:rPr>
      <w:color w:val="000000"/>
    </w:rPr>
  </w:style>
  <w:style w:type="paragraph" w:styleId="ae">
    <w:name w:val="footer"/>
    <w:basedOn w:val="a"/>
    <w:link w:val="af"/>
    <w:uiPriority w:val="99"/>
    <w:unhideWhenUsed/>
    <w:rsid w:val="00DA38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A3806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BD725C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BD725C"/>
    <w:rPr>
      <w:rFonts w:ascii="Segoe UI" w:hAnsi="Segoe UI" w:cs="Segoe UI"/>
      <w:color w:val="000000"/>
      <w:sz w:val="18"/>
      <w:szCs w:val="18"/>
    </w:rPr>
  </w:style>
  <w:style w:type="paragraph" w:customStyle="1" w:styleId="11">
    <w:name w:val="Обычный1"/>
    <w:rsid w:val="00636F89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6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4C9DF-8633-4134-8CDE-94D87180D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2019-10-03T13:19:00Z</cp:lastPrinted>
  <dcterms:created xsi:type="dcterms:W3CDTF">2019-12-16T06:20:00Z</dcterms:created>
  <dcterms:modified xsi:type="dcterms:W3CDTF">2019-12-16T06:42:00Z</dcterms:modified>
</cp:coreProperties>
</file>